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9980A" w14:textId="77777777" w:rsidR="00A6041D" w:rsidRPr="00A6041D" w:rsidRDefault="00A6041D" w:rsidP="00A6041D">
      <w:pPr>
        <w:shd w:val="clear" w:color="auto" w:fill="FFFFFF"/>
        <w:spacing w:after="0" w:line="336" w:lineRule="atLeast"/>
        <w:outlineLvl w:val="1"/>
        <w:rPr>
          <w:rFonts w:ascii="Nunito Sans" w:eastAsia="Times New Roman" w:hAnsi="Nunito Sans" w:cs="Times New Roman"/>
          <w:b/>
          <w:bCs/>
          <w:color w:val="00383F"/>
          <w:kern w:val="0"/>
          <w:sz w:val="36"/>
          <w:szCs w:val="36"/>
          <w:lang w:eastAsia="nl-NL"/>
          <w14:ligatures w14:val="none"/>
        </w:rPr>
      </w:pPr>
      <w:r w:rsidRPr="00A6041D">
        <w:rPr>
          <w:rFonts w:ascii="Nunito Sans" w:eastAsia="Times New Roman" w:hAnsi="Nunito Sans" w:cs="Times New Roman"/>
          <w:b/>
          <w:bCs/>
          <w:color w:val="00383F"/>
          <w:kern w:val="0"/>
          <w:sz w:val="36"/>
          <w:szCs w:val="36"/>
          <w:lang w:eastAsia="nl-NL"/>
          <w14:ligatures w14:val="none"/>
        </w:rPr>
        <w:t>Onderzoek: Samenwerking in energiehubs op bedrijventerreinen leidt tot forse extra CO2-reductie</w:t>
      </w:r>
    </w:p>
    <w:p w14:paraId="050556AD" w14:textId="1669D98A" w:rsidR="00A6041D" w:rsidRPr="00A6041D" w:rsidRDefault="00000000" w:rsidP="00A6041D">
      <w:pPr>
        <w:shd w:val="clear" w:color="auto" w:fill="FFFFFF"/>
        <w:spacing w:after="0" w:line="336" w:lineRule="atLeast"/>
        <w:outlineLvl w:val="1"/>
        <w:rPr>
          <w:rFonts w:ascii="Nunito Sans" w:eastAsia="Times New Roman" w:hAnsi="Nunito Sans" w:cs="Times New Roman"/>
          <w:b/>
          <w:bCs/>
          <w:color w:val="00383F"/>
          <w:kern w:val="0"/>
          <w:sz w:val="24"/>
          <w:szCs w:val="24"/>
          <w:lang w:eastAsia="nl-NL"/>
          <w14:ligatures w14:val="none"/>
        </w:rPr>
      </w:pPr>
      <w:hyperlink r:id="rId5" w:history="1">
        <w:r w:rsidR="00A6041D">
          <w:rPr>
            <w:rStyle w:val="Hyperlink"/>
          </w:rPr>
          <w:t>Onderzoek: Samenwerking in energiehubs op bedrijventerreinen leidt tot forse extra CO2-reductie - NVDE - Nederlandse Vereniging Duurzame Energie</w:t>
        </w:r>
      </w:hyperlink>
    </w:p>
    <w:p w14:paraId="67CA7B4A" w14:textId="77777777" w:rsidR="00A6041D" w:rsidRPr="00A6041D" w:rsidRDefault="00A6041D" w:rsidP="00A6041D">
      <w:pPr>
        <w:shd w:val="clear" w:color="auto" w:fill="FFFFFF"/>
        <w:spacing w:line="240" w:lineRule="auto"/>
        <w:rPr>
          <w:rFonts w:ascii="inherit" w:eastAsia="Times New Roman" w:hAnsi="inherit" w:cs="Times New Roman"/>
          <w:caps/>
          <w:color w:val="000000"/>
          <w:spacing w:val="60"/>
          <w:kern w:val="0"/>
          <w:sz w:val="21"/>
          <w:szCs w:val="21"/>
          <w:lang w:eastAsia="nl-NL"/>
          <w14:ligatures w14:val="none"/>
        </w:rPr>
      </w:pPr>
      <w:r w:rsidRPr="00A6041D">
        <w:rPr>
          <w:rFonts w:ascii="inherit" w:eastAsia="Times New Roman" w:hAnsi="inherit" w:cs="Times New Roman"/>
          <w:color w:val="004C8C"/>
          <w:spacing w:val="15"/>
          <w:kern w:val="0"/>
          <w:sz w:val="24"/>
          <w:szCs w:val="24"/>
          <w:lang w:eastAsia="nl-NL"/>
          <w14:ligatures w14:val="none"/>
        </w:rPr>
        <w:t>30 oktober 2023</w:t>
      </w:r>
    </w:p>
    <w:p w14:paraId="5DE8C6E8" w14:textId="77777777" w:rsidR="00A6041D" w:rsidRDefault="00A6041D" w:rsidP="00A6041D">
      <w:pPr>
        <w:spacing w:after="0" w:line="240" w:lineRule="auto"/>
        <w:rPr>
          <w:rFonts w:ascii="Times New Roman" w:eastAsia="Times New Roman" w:hAnsi="Times New Roman" w:cs="Times New Roman"/>
          <w:b/>
          <w:bCs/>
          <w:color w:val="000000"/>
          <w:kern w:val="0"/>
          <w:sz w:val="28"/>
          <w:szCs w:val="28"/>
          <w:lang w:eastAsia="nl-NL"/>
          <w14:ligatures w14:val="none"/>
        </w:rPr>
      </w:pPr>
      <w:r w:rsidRPr="00A6041D">
        <w:rPr>
          <w:rFonts w:ascii="Times New Roman" w:eastAsia="Times New Roman" w:hAnsi="Times New Roman" w:cs="Times New Roman"/>
          <w:b/>
          <w:bCs/>
          <w:color w:val="000000"/>
          <w:kern w:val="0"/>
          <w:sz w:val="28"/>
          <w:szCs w:val="28"/>
          <w:lang w:eastAsia="nl-NL"/>
          <w14:ligatures w14:val="none"/>
        </w:rPr>
        <w:t>Energiehubs kunnen zorgen voor vier tot zes Megaton extra CO</w:t>
      </w:r>
      <w:r w:rsidRPr="00A6041D">
        <w:rPr>
          <w:rFonts w:ascii="Times New Roman" w:eastAsia="Times New Roman" w:hAnsi="Times New Roman" w:cs="Times New Roman"/>
          <w:b/>
          <w:bCs/>
          <w:color w:val="000000"/>
          <w:kern w:val="0"/>
          <w:sz w:val="28"/>
          <w:szCs w:val="28"/>
          <w:vertAlign w:val="subscript"/>
          <w:lang w:eastAsia="nl-NL"/>
          <w14:ligatures w14:val="none"/>
        </w:rPr>
        <w:t>2</w:t>
      </w:r>
      <w:r w:rsidRPr="00A6041D">
        <w:rPr>
          <w:rFonts w:ascii="Times New Roman" w:eastAsia="Times New Roman" w:hAnsi="Times New Roman" w:cs="Times New Roman"/>
          <w:b/>
          <w:bCs/>
          <w:color w:val="000000"/>
          <w:kern w:val="0"/>
          <w:sz w:val="28"/>
          <w:szCs w:val="28"/>
          <w:lang w:eastAsia="nl-NL"/>
          <w14:ligatures w14:val="none"/>
        </w:rPr>
        <w:t xml:space="preserve">-reductie in 2030. Door in een hub onderling samen te werken kunnen bedrijven hun eigen verduurzamingsdoelen beter halen, meer schone elektriciteit produceren en meer elektrische logistieke laadpunten ontwikkelen. Dit blijkt uit onderzoek van Royal </w:t>
      </w:r>
      <w:proofErr w:type="spellStart"/>
      <w:r w:rsidRPr="00A6041D">
        <w:rPr>
          <w:rFonts w:ascii="Times New Roman" w:eastAsia="Times New Roman" w:hAnsi="Times New Roman" w:cs="Times New Roman"/>
          <w:b/>
          <w:bCs/>
          <w:color w:val="000000"/>
          <w:kern w:val="0"/>
          <w:sz w:val="28"/>
          <w:szCs w:val="28"/>
          <w:lang w:eastAsia="nl-NL"/>
          <w14:ligatures w14:val="none"/>
        </w:rPr>
        <w:t>HaskoningDHV</w:t>
      </w:r>
      <w:proofErr w:type="spellEnd"/>
      <w:r w:rsidRPr="00A6041D">
        <w:rPr>
          <w:rFonts w:ascii="Times New Roman" w:eastAsia="Times New Roman" w:hAnsi="Times New Roman" w:cs="Times New Roman"/>
          <w:b/>
          <w:bCs/>
          <w:color w:val="000000"/>
          <w:kern w:val="0"/>
          <w:sz w:val="28"/>
          <w:szCs w:val="28"/>
          <w:lang w:eastAsia="nl-NL"/>
          <w14:ligatures w14:val="none"/>
        </w:rPr>
        <w:t xml:space="preserve"> in opdracht van de Nederlandse Vereniging Duurzame Energie (NVDE) en Programma Verduurzaming Bedrijventerreinen (PVB Nederland). NVDE-voorzitter </w:t>
      </w:r>
      <w:proofErr w:type="spellStart"/>
      <w:r w:rsidRPr="00A6041D">
        <w:rPr>
          <w:rFonts w:ascii="Times New Roman" w:eastAsia="Times New Roman" w:hAnsi="Times New Roman" w:cs="Times New Roman"/>
          <w:b/>
          <w:bCs/>
          <w:color w:val="000000"/>
          <w:kern w:val="0"/>
          <w:sz w:val="28"/>
          <w:szCs w:val="28"/>
          <w:lang w:eastAsia="nl-NL"/>
          <w14:ligatures w14:val="none"/>
        </w:rPr>
        <w:t>Olof</w:t>
      </w:r>
      <w:proofErr w:type="spellEnd"/>
      <w:r w:rsidRPr="00A6041D">
        <w:rPr>
          <w:rFonts w:ascii="Times New Roman" w:eastAsia="Times New Roman" w:hAnsi="Times New Roman" w:cs="Times New Roman"/>
          <w:b/>
          <w:bCs/>
          <w:color w:val="000000"/>
          <w:kern w:val="0"/>
          <w:sz w:val="28"/>
          <w:szCs w:val="28"/>
          <w:lang w:eastAsia="nl-NL"/>
          <w14:ligatures w14:val="none"/>
        </w:rPr>
        <w:t xml:space="preserve"> van der Gaag en PVB-programmamanager Richard Kleefman concluderen: “Werken met energiehubs kan echt het verschil maken bij het verduurzamen van bedrijventerreinen. Laten we er snel mee aan de slag gaan.”</w:t>
      </w:r>
    </w:p>
    <w:p w14:paraId="48581120" w14:textId="77777777" w:rsidR="00A6041D" w:rsidRPr="00A6041D" w:rsidRDefault="00A6041D" w:rsidP="00A6041D">
      <w:pPr>
        <w:spacing w:after="0" w:line="240" w:lineRule="auto"/>
        <w:rPr>
          <w:rFonts w:ascii="Times New Roman" w:eastAsia="Times New Roman" w:hAnsi="Times New Roman" w:cs="Times New Roman"/>
          <w:color w:val="000000"/>
          <w:kern w:val="0"/>
          <w:sz w:val="28"/>
          <w:szCs w:val="28"/>
          <w:lang w:eastAsia="nl-NL"/>
          <w14:ligatures w14:val="none"/>
        </w:rPr>
      </w:pPr>
    </w:p>
    <w:p w14:paraId="4623AA3E" w14:textId="77777777" w:rsidR="00A6041D" w:rsidRPr="00A6041D" w:rsidRDefault="00A6041D" w:rsidP="00A6041D">
      <w:pPr>
        <w:spacing w:after="0" w:line="240" w:lineRule="auto"/>
        <w:rPr>
          <w:rFonts w:ascii="Times New Roman" w:eastAsia="Times New Roman" w:hAnsi="Times New Roman" w:cs="Times New Roman"/>
          <w:color w:val="000000"/>
          <w:kern w:val="0"/>
          <w:sz w:val="24"/>
          <w:szCs w:val="24"/>
          <w:lang w:eastAsia="nl-NL"/>
          <w14:ligatures w14:val="none"/>
        </w:rPr>
      </w:pPr>
      <w:r w:rsidRPr="00A6041D">
        <w:rPr>
          <w:rFonts w:ascii="Times New Roman" w:eastAsia="Times New Roman" w:hAnsi="Times New Roman" w:cs="Times New Roman"/>
          <w:color w:val="000000"/>
          <w:kern w:val="0"/>
          <w:sz w:val="24"/>
          <w:szCs w:val="24"/>
          <w:lang w:eastAsia="nl-NL"/>
          <w14:ligatures w14:val="none"/>
        </w:rPr>
        <w:t>Veel bedrijven buiten de vijf grote industriële clusters van ons land worstelen momenteel met het verlagen van hun CO</w:t>
      </w:r>
      <w:r w:rsidRPr="00A6041D">
        <w:rPr>
          <w:rFonts w:ascii="Times New Roman" w:eastAsia="Times New Roman" w:hAnsi="Times New Roman" w:cs="Times New Roman"/>
          <w:color w:val="000000"/>
          <w:kern w:val="0"/>
          <w:sz w:val="24"/>
          <w:szCs w:val="24"/>
          <w:vertAlign w:val="subscript"/>
          <w:lang w:eastAsia="nl-NL"/>
          <w14:ligatures w14:val="none"/>
        </w:rPr>
        <w:t>2</w:t>
      </w:r>
      <w:r w:rsidRPr="00A6041D">
        <w:rPr>
          <w:rFonts w:ascii="Times New Roman" w:eastAsia="Times New Roman" w:hAnsi="Times New Roman" w:cs="Times New Roman"/>
          <w:color w:val="000000"/>
          <w:kern w:val="0"/>
          <w:sz w:val="24"/>
          <w:szCs w:val="24"/>
          <w:lang w:eastAsia="nl-NL"/>
          <w14:ligatures w14:val="none"/>
        </w:rPr>
        <w:t xml:space="preserve">-emissies en het verduurzamen van hun bedrijfsvoering. Vaak lukt het niet om grote stappen te maken omdat het elektriciteitsnet ‘vol’ zit. Samen optrekken in de vorm van een </w:t>
      </w:r>
      <w:proofErr w:type="spellStart"/>
      <w:r w:rsidRPr="00A6041D">
        <w:rPr>
          <w:rFonts w:ascii="Times New Roman" w:eastAsia="Times New Roman" w:hAnsi="Times New Roman" w:cs="Times New Roman"/>
          <w:color w:val="000000"/>
          <w:kern w:val="0"/>
          <w:sz w:val="24"/>
          <w:szCs w:val="24"/>
          <w:lang w:eastAsia="nl-NL"/>
          <w14:ligatures w14:val="none"/>
        </w:rPr>
        <w:t>energiehub</w:t>
      </w:r>
      <w:proofErr w:type="spellEnd"/>
      <w:r w:rsidRPr="00A6041D">
        <w:rPr>
          <w:rFonts w:ascii="Times New Roman" w:eastAsia="Times New Roman" w:hAnsi="Times New Roman" w:cs="Times New Roman"/>
          <w:color w:val="000000"/>
          <w:kern w:val="0"/>
          <w:sz w:val="24"/>
          <w:szCs w:val="24"/>
          <w:lang w:eastAsia="nl-NL"/>
          <w14:ligatures w14:val="none"/>
        </w:rPr>
        <w:t xml:space="preserve"> biedt dan vaak een oplossing: door processen onderling af te stemmen en energie direct uit te wisselen, blijkt er veel meer verduurzaming mogelijk met de bestaande infrastructuur.</w:t>
      </w:r>
    </w:p>
    <w:p w14:paraId="6146DEF1" w14:textId="77777777" w:rsidR="00A6041D" w:rsidRPr="00A6041D" w:rsidRDefault="00A6041D" w:rsidP="00A6041D">
      <w:pPr>
        <w:spacing w:after="0" w:line="240" w:lineRule="auto"/>
        <w:rPr>
          <w:rFonts w:ascii="Times New Roman" w:eastAsia="Times New Roman" w:hAnsi="Times New Roman" w:cs="Times New Roman"/>
          <w:color w:val="000000"/>
          <w:kern w:val="0"/>
          <w:sz w:val="24"/>
          <w:szCs w:val="24"/>
          <w:lang w:eastAsia="nl-NL"/>
          <w14:ligatures w14:val="none"/>
        </w:rPr>
      </w:pPr>
      <w:r w:rsidRPr="00A6041D">
        <w:rPr>
          <w:rFonts w:ascii="Times New Roman" w:eastAsia="Times New Roman" w:hAnsi="Times New Roman" w:cs="Times New Roman"/>
          <w:color w:val="000000"/>
          <w:kern w:val="0"/>
          <w:sz w:val="24"/>
          <w:szCs w:val="24"/>
          <w:lang w:eastAsia="nl-NL"/>
          <w14:ligatures w14:val="none"/>
        </w:rPr>
        <w:t xml:space="preserve">Advies- en ingenieursbureau Royal </w:t>
      </w:r>
      <w:proofErr w:type="spellStart"/>
      <w:r w:rsidRPr="00A6041D">
        <w:rPr>
          <w:rFonts w:ascii="Times New Roman" w:eastAsia="Times New Roman" w:hAnsi="Times New Roman" w:cs="Times New Roman"/>
          <w:color w:val="000000"/>
          <w:kern w:val="0"/>
          <w:sz w:val="24"/>
          <w:szCs w:val="24"/>
          <w:lang w:eastAsia="nl-NL"/>
          <w14:ligatures w14:val="none"/>
        </w:rPr>
        <w:t>HaskoningDHV</w:t>
      </w:r>
      <w:proofErr w:type="spellEnd"/>
      <w:r w:rsidRPr="00A6041D">
        <w:rPr>
          <w:rFonts w:ascii="Times New Roman" w:eastAsia="Times New Roman" w:hAnsi="Times New Roman" w:cs="Times New Roman"/>
          <w:color w:val="000000"/>
          <w:kern w:val="0"/>
          <w:sz w:val="24"/>
          <w:szCs w:val="24"/>
          <w:lang w:eastAsia="nl-NL"/>
          <w14:ligatures w14:val="none"/>
        </w:rPr>
        <w:t xml:space="preserve"> schatte in dat alleen al bij zo’n 350 grotere, energie-intensieve bedrijventerreinen een </w:t>
      </w:r>
      <w:proofErr w:type="spellStart"/>
      <w:r w:rsidRPr="00A6041D">
        <w:rPr>
          <w:rFonts w:ascii="Times New Roman" w:eastAsia="Times New Roman" w:hAnsi="Times New Roman" w:cs="Times New Roman"/>
          <w:color w:val="000000"/>
          <w:kern w:val="0"/>
          <w:sz w:val="24"/>
          <w:szCs w:val="24"/>
          <w:lang w:eastAsia="nl-NL"/>
          <w14:ligatures w14:val="none"/>
        </w:rPr>
        <w:t>energiehub</w:t>
      </w:r>
      <w:proofErr w:type="spellEnd"/>
      <w:r w:rsidRPr="00A6041D">
        <w:rPr>
          <w:rFonts w:ascii="Times New Roman" w:eastAsia="Times New Roman" w:hAnsi="Times New Roman" w:cs="Times New Roman"/>
          <w:color w:val="000000"/>
          <w:kern w:val="0"/>
          <w:sz w:val="24"/>
          <w:szCs w:val="24"/>
          <w:lang w:eastAsia="nl-NL"/>
          <w14:ligatures w14:val="none"/>
        </w:rPr>
        <w:t xml:space="preserve">-benadering kan leiden tot vier tot zes </w:t>
      </w:r>
      <w:proofErr w:type="spellStart"/>
      <w:r w:rsidRPr="00A6041D">
        <w:rPr>
          <w:rFonts w:ascii="Times New Roman" w:eastAsia="Times New Roman" w:hAnsi="Times New Roman" w:cs="Times New Roman"/>
          <w:color w:val="000000"/>
          <w:kern w:val="0"/>
          <w:sz w:val="24"/>
          <w:szCs w:val="24"/>
          <w:lang w:eastAsia="nl-NL"/>
          <w14:ligatures w14:val="none"/>
        </w:rPr>
        <w:t>Mton</w:t>
      </w:r>
      <w:proofErr w:type="spellEnd"/>
      <w:r w:rsidRPr="00A6041D">
        <w:rPr>
          <w:rFonts w:ascii="Times New Roman" w:eastAsia="Times New Roman" w:hAnsi="Times New Roman" w:cs="Times New Roman"/>
          <w:color w:val="000000"/>
          <w:kern w:val="0"/>
          <w:sz w:val="24"/>
          <w:szCs w:val="24"/>
          <w:lang w:eastAsia="nl-NL"/>
          <w14:ligatures w14:val="none"/>
        </w:rPr>
        <w:t xml:space="preserve"> CO</w:t>
      </w:r>
      <w:r w:rsidRPr="00A6041D">
        <w:rPr>
          <w:rFonts w:ascii="Times New Roman" w:eastAsia="Times New Roman" w:hAnsi="Times New Roman" w:cs="Times New Roman"/>
          <w:color w:val="000000"/>
          <w:kern w:val="0"/>
          <w:sz w:val="24"/>
          <w:szCs w:val="24"/>
          <w:vertAlign w:val="subscript"/>
          <w:lang w:eastAsia="nl-NL"/>
          <w14:ligatures w14:val="none"/>
        </w:rPr>
        <w:t>2</w:t>
      </w:r>
      <w:r w:rsidRPr="00A6041D">
        <w:rPr>
          <w:rFonts w:ascii="Times New Roman" w:eastAsia="Times New Roman" w:hAnsi="Times New Roman" w:cs="Times New Roman"/>
          <w:color w:val="000000"/>
          <w:kern w:val="0"/>
          <w:sz w:val="24"/>
          <w:szCs w:val="24"/>
          <w:lang w:eastAsia="nl-NL"/>
          <w14:ligatures w14:val="none"/>
        </w:rPr>
        <w:t xml:space="preserve">-reductie in 2030, oftewel drie tot vier procent ten opzichte van onze huidige totale emissies. Binnen een </w:t>
      </w:r>
      <w:proofErr w:type="spellStart"/>
      <w:r w:rsidRPr="00A6041D">
        <w:rPr>
          <w:rFonts w:ascii="Times New Roman" w:eastAsia="Times New Roman" w:hAnsi="Times New Roman" w:cs="Times New Roman"/>
          <w:color w:val="000000"/>
          <w:kern w:val="0"/>
          <w:sz w:val="24"/>
          <w:szCs w:val="24"/>
          <w:lang w:eastAsia="nl-NL"/>
          <w14:ligatures w14:val="none"/>
        </w:rPr>
        <w:t>energiehub</w:t>
      </w:r>
      <w:proofErr w:type="spellEnd"/>
      <w:r w:rsidRPr="00A6041D">
        <w:rPr>
          <w:rFonts w:ascii="Times New Roman" w:eastAsia="Times New Roman" w:hAnsi="Times New Roman" w:cs="Times New Roman"/>
          <w:color w:val="000000"/>
          <w:kern w:val="0"/>
          <w:sz w:val="24"/>
          <w:szCs w:val="24"/>
          <w:lang w:eastAsia="nl-NL"/>
          <w14:ligatures w14:val="none"/>
        </w:rPr>
        <w:t xml:space="preserve"> kunnen ze bijvoorbeeld wél elektrificeren waar dat nu door de beperkte capaciteit van het elektriciteitsnet niet kan; ze kunnen meer wind- en zonne-energieprojecten op het terrein realiseren en logistieke centra kunnen meer elektrische laadpunten ontwikkelen voor hun wagenpark.</w:t>
      </w:r>
    </w:p>
    <w:p w14:paraId="76E3BC42" w14:textId="77777777" w:rsidR="00A6041D" w:rsidRPr="00A6041D" w:rsidRDefault="00A6041D" w:rsidP="00A6041D">
      <w:pPr>
        <w:spacing w:after="0" w:line="240" w:lineRule="auto"/>
        <w:rPr>
          <w:rFonts w:ascii="Times New Roman" w:eastAsia="Times New Roman" w:hAnsi="Times New Roman" w:cs="Times New Roman"/>
          <w:color w:val="000000"/>
          <w:kern w:val="0"/>
          <w:sz w:val="24"/>
          <w:szCs w:val="24"/>
          <w:lang w:eastAsia="nl-NL"/>
          <w14:ligatures w14:val="none"/>
        </w:rPr>
      </w:pPr>
      <w:r w:rsidRPr="00A6041D">
        <w:rPr>
          <w:rFonts w:ascii="Times New Roman" w:eastAsia="Times New Roman" w:hAnsi="Times New Roman" w:cs="Times New Roman"/>
          <w:color w:val="000000"/>
          <w:kern w:val="0"/>
          <w:sz w:val="24"/>
          <w:szCs w:val="24"/>
          <w:lang w:eastAsia="nl-NL"/>
          <w14:ligatures w14:val="none"/>
        </w:rPr>
        <w:t>Het onderzoek inventariseert ook wat voor beleid er nodig is om energiehubs te laten werken. Daarvoor is per bedrijventerrein een gezamenlijke verduurzamingsagenda nodig die recht doet aan de specifieke situatie. Die agenda moet ook aansluiten bij lopende regionale ontwikkelingen voor de uitrol van wind- en zonne-energie en de plannen voor het versterken van het elektriciteitsnet.  Tenslotte zullen bedrijven binnen energiehubs voldoende investeringszekerheid nodig hebben om te kunnen ondernemen. Daarvoor is wellicht nationaal beleid nodig. De concretisering daarvan viel buiten het onderzoek, maar dan valt te denken aan:</w:t>
      </w:r>
    </w:p>
    <w:p w14:paraId="19BA21B8" w14:textId="77777777" w:rsidR="00A6041D" w:rsidRPr="00A6041D" w:rsidRDefault="00A6041D" w:rsidP="00A6041D">
      <w:pPr>
        <w:numPr>
          <w:ilvl w:val="0"/>
          <w:numId w:val="1"/>
        </w:numPr>
        <w:spacing w:before="100" w:beforeAutospacing="1" w:after="0" w:line="336" w:lineRule="atLeast"/>
        <w:ind w:left="1080"/>
        <w:rPr>
          <w:rFonts w:ascii="Times New Roman" w:eastAsia="Times New Roman" w:hAnsi="Times New Roman" w:cs="Times New Roman"/>
          <w:color w:val="000000"/>
          <w:kern w:val="0"/>
          <w:sz w:val="24"/>
          <w:szCs w:val="24"/>
          <w:lang w:eastAsia="nl-NL"/>
          <w14:ligatures w14:val="none"/>
        </w:rPr>
      </w:pPr>
      <w:r w:rsidRPr="00A6041D">
        <w:rPr>
          <w:rFonts w:ascii="Times New Roman" w:eastAsia="Times New Roman" w:hAnsi="Times New Roman" w:cs="Times New Roman"/>
          <w:color w:val="000000"/>
          <w:kern w:val="0"/>
          <w:sz w:val="24"/>
          <w:szCs w:val="24"/>
          <w:lang w:eastAsia="nl-NL"/>
          <w14:ligatures w14:val="none"/>
        </w:rPr>
        <w:t xml:space="preserve">Bedrijven belonen die in een </w:t>
      </w:r>
      <w:proofErr w:type="spellStart"/>
      <w:r w:rsidRPr="00A6041D">
        <w:rPr>
          <w:rFonts w:ascii="Times New Roman" w:eastAsia="Times New Roman" w:hAnsi="Times New Roman" w:cs="Times New Roman"/>
          <w:color w:val="000000"/>
          <w:kern w:val="0"/>
          <w:sz w:val="24"/>
          <w:szCs w:val="24"/>
          <w:lang w:eastAsia="nl-NL"/>
          <w14:ligatures w14:val="none"/>
        </w:rPr>
        <w:t>energiehub</w:t>
      </w:r>
      <w:proofErr w:type="spellEnd"/>
      <w:r w:rsidRPr="00A6041D">
        <w:rPr>
          <w:rFonts w:ascii="Times New Roman" w:eastAsia="Times New Roman" w:hAnsi="Times New Roman" w:cs="Times New Roman"/>
          <w:color w:val="000000"/>
          <w:kern w:val="0"/>
          <w:sz w:val="24"/>
          <w:szCs w:val="24"/>
          <w:lang w:eastAsia="nl-NL"/>
          <w14:ligatures w14:val="none"/>
        </w:rPr>
        <w:t xml:space="preserve"> tot extra CO2-reductie komen, bijvoorbeeld in hun nettarief of een belasting;</w:t>
      </w:r>
    </w:p>
    <w:p w14:paraId="14AC5F7F" w14:textId="77777777" w:rsidR="00A6041D" w:rsidRPr="00A6041D" w:rsidRDefault="00A6041D" w:rsidP="00A6041D">
      <w:pPr>
        <w:numPr>
          <w:ilvl w:val="0"/>
          <w:numId w:val="1"/>
        </w:numPr>
        <w:spacing w:before="100" w:beforeAutospacing="1" w:after="0" w:line="336" w:lineRule="atLeast"/>
        <w:ind w:left="1080"/>
        <w:rPr>
          <w:rFonts w:ascii="Times New Roman" w:eastAsia="Times New Roman" w:hAnsi="Times New Roman" w:cs="Times New Roman"/>
          <w:color w:val="000000"/>
          <w:kern w:val="0"/>
          <w:sz w:val="24"/>
          <w:szCs w:val="24"/>
          <w:lang w:eastAsia="nl-NL"/>
          <w14:ligatures w14:val="none"/>
        </w:rPr>
      </w:pPr>
      <w:r w:rsidRPr="00A6041D">
        <w:rPr>
          <w:rFonts w:ascii="Times New Roman" w:eastAsia="Times New Roman" w:hAnsi="Times New Roman" w:cs="Times New Roman"/>
          <w:color w:val="000000"/>
          <w:kern w:val="0"/>
          <w:sz w:val="24"/>
          <w:szCs w:val="24"/>
          <w:lang w:eastAsia="nl-NL"/>
          <w14:ligatures w14:val="none"/>
        </w:rPr>
        <w:t>De vergunningsprocedures te vergemakkelijken, bijvoorbeeld door ze te combineren;</w:t>
      </w:r>
    </w:p>
    <w:p w14:paraId="33D841D6" w14:textId="77777777" w:rsidR="00A6041D" w:rsidRPr="00A6041D" w:rsidRDefault="00A6041D" w:rsidP="00A6041D">
      <w:pPr>
        <w:numPr>
          <w:ilvl w:val="0"/>
          <w:numId w:val="1"/>
        </w:numPr>
        <w:spacing w:before="100" w:beforeAutospacing="1" w:after="0" w:line="336" w:lineRule="atLeast"/>
        <w:ind w:left="1080"/>
        <w:rPr>
          <w:rFonts w:ascii="Times New Roman" w:eastAsia="Times New Roman" w:hAnsi="Times New Roman" w:cs="Times New Roman"/>
          <w:color w:val="000000"/>
          <w:kern w:val="0"/>
          <w:sz w:val="24"/>
          <w:szCs w:val="24"/>
          <w:lang w:eastAsia="nl-NL"/>
          <w14:ligatures w14:val="none"/>
        </w:rPr>
      </w:pPr>
      <w:r w:rsidRPr="00A6041D">
        <w:rPr>
          <w:rFonts w:ascii="Times New Roman" w:eastAsia="Times New Roman" w:hAnsi="Times New Roman" w:cs="Times New Roman"/>
          <w:color w:val="000000"/>
          <w:kern w:val="0"/>
          <w:sz w:val="24"/>
          <w:szCs w:val="24"/>
          <w:lang w:eastAsia="nl-NL"/>
          <w14:ligatures w14:val="none"/>
        </w:rPr>
        <w:t>Bedrijven makkelijker toegang te geven tot informatie, bijvoorbeeld de structuur van het elektriciteitsnet op hun terrein;</w:t>
      </w:r>
    </w:p>
    <w:p w14:paraId="0A627926" w14:textId="77777777" w:rsidR="00A6041D" w:rsidRPr="00A6041D" w:rsidRDefault="00A6041D" w:rsidP="00A6041D">
      <w:pPr>
        <w:numPr>
          <w:ilvl w:val="0"/>
          <w:numId w:val="1"/>
        </w:numPr>
        <w:spacing w:before="100" w:beforeAutospacing="1" w:after="0" w:line="336" w:lineRule="atLeast"/>
        <w:ind w:left="1080"/>
        <w:rPr>
          <w:rFonts w:ascii="Times New Roman" w:eastAsia="Times New Roman" w:hAnsi="Times New Roman" w:cs="Times New Roman"/>
          <w:color w:val="000000"/>
          <w:kern w:val="0"/>
          <w:sz w:val="24"/>
          <w:szCs w:val="24"/>
          <w:lang w:eastAsia="nl-NL"/>
          <w14:ligatures w14:val="none"/>
        </w:rPr>
      </w:pPr>
      <w:r w:rsidRPr="00A6041D">
        <w:rPr>
          <w:rFonts w:ascii="Times New Roman" w:eastAsia="Times New Roman" w:hAnsi="Times New Roman" w:cs="Times New Roman"/>
          <w:color w:val="000000"/>
          <w:kern w:val="0"/>
          <w:sz w:val="24"/>
          <w:szCs w:val="24"/>
          <w:lang w:eastAsia="nl-NL"/>
          <w14:ligatures w14:val="none"/>
        </w:rPr>
        <w:lastRenderedPageBreak/>
        <w:t>Een gebundelde ondersteuning van energiehubs, in plaats van via allerlei verschillende kleine regelingen</w:t>
      </w:r>
    </w:p>
    <w:p w14:paraId="7ECE6870" w14:textId="77777777" w:rsidR="00A6041D" w:rsidRPr="00A6041D" w:rsidRDefault="00A6041D" w:rsidP="00A6041D">
      <w:pPr>
        <w:spacing w:after="0" w:line="240" w:lineRule="auto"/>
        <w:rPr>
          <w:rFonts w:ascii="Times New Roman" w:eastAsia="Times New Roman" w:hAnsi="Times New Roman" w:cs="Times New Roman"/>
          <w:color w:val="000000"/>
          <w:kern w:val="0"/>
          <w:sz w:val="24"/>
          <w:szCs w:val="24"/>
          <w:lang w:eastAsia="nl-NL"/>
          <w14:ligatures w14:val="none"/>
        </w:rPr>
      </w:pPr>
      <w:r w:rsidRPr="00A6041D">
        <w:rPr>
          <w:rFonts w:ascii="Times New Roman" w:eastAsia="Times New Roman" w:hAnsi="Times New Roman" w:cs="Times New Roman"/>
          <w:color w:val="000000"/>
          <w:kern w:val="0"/>
          <w:sz w:val="24"/>
          <w:szCs w:val="24"/>
          <w:lang w:eastAsia="nl-NL"/>
          <w14:ligatures w14:val="none"/>
        </w:rPr>
        <w:t xml:space="preserve">Het onderzoek van Royal </w:t>
      </w:r>
      <w:proofErr w:type="spellStart"/>
      <w:r w:rsidRPr="00A6041D">
        <w:rPr>
          <w:rFonts w:ascii="Times New Roman" w:eastAsia="Times New Roman" w:hAnsi="Times New Roman" w:cs="Times New Roman"/>
          <w:color w:val="000000"/>
          <w:kern w:val="0"/>
          <w:sz w:val="24"/>
          <w:szCs w:val="24"/>
          <w:lang w:eastAsia="nl-NL"/>
          <w14:ligatures w14:val="none"/>
        </w:rPr>
        <w:t>HaskoningDHV</w:t>
      </w:r>
      <w:proofErr w:type="spellEnd"/>
      <w:r w:rsidRPr="00A6041D">
        <w:rPr>
          <w:rFonts w:ascii="Times New Roman" w:eastAsia="Times New Roman" w:hAnsi="Times New Roman" w:cs="Times New Roman"/>
          <w:color w:val="000000"/>
          <w:kern w:val="0"/>
          <w:sz w:val="24"/>
          <w:szCs w:val="24"/>
          <w:lang w:eastAsia="nl-NL"/>
          <w14:ligatures w14:val="none"/>
        </w:rPr>
        <w:t xml:space="preserve"> is de eerste indicatie van het </w:t>
      </w:r>
      <w:r w:rsidRPr="00A6041D">
        <w:rPr>
          <w:rFonts w:ascii="Times New Roman" w:eastAsia="Times New Roman" w:hAnsi="Times New Roman" w:cs="Times New Roman"/>
          <w:i/>
          <w:iCs/>
          <w:color w:val="000000"/>
          <w:kern w:val="0"/>
          <w:sz w:val="24"/>
          <w:szCs w:val="24"/>
          <w:lang w:eastAsia="nl-NL"/>
          <w14:ligatures w14:val="none"/>
        </w:rPr>
        <w:t>landelijke</w:t>
      </w:r>
      <w:r w:rsidRPr="00A6041D">
        <w:rPr>
          <w:rFonts w:ascii="Times New Roman" w:eastAsia="Times New Roman" w:hAnsi="Times New Roman" w:cs="Times New Roman"/>
          <w:color w:val="000000"/>
          <w:kern w:val="0"/>
          <w:sz w:val="24"/>
          <w:szCs w:val="24"/>
          <w:lang w:eastAsia="nl-NL"/>
          <w14:ligatures w14:val="none"/>
        </w:rPr>
        <w:t> effect van energiehubs, gebaseerd op een </w:t>
      </w:r>
      <w:r w:rsidRPr="00A6041D">
        <w:rPr>
          <w:rFonts w:ascii="Times New Roman" w:eastAsia="Times New Roman" w:hAnsi="Times New Roman" w:cs="Times New Roman"/>
          <w:i/>
          <w:iCs/>
          <w:color w:val="000000"/>
          <w:kern w:val="0"/>
          <w:sz w:val="24"/>
          <w:szCs w:val="24"/>
          <w:lang w:eastAsia="nl-NL"/>
          <w14:ligatures w14:val="none"/>
        </w:rPr>
        <w:t>aantal manieren</w:t>
      </w:r>
      <w:r w:rsidRPr="00A6041D">
        <w:rPr>
          <w:rFonts w:ascii="Times New Roman" w:eastAsia="Times New Roman" w:hAnsi="Times New Roman" w:cs="Times New Roman"/>
          <w:color w:val="000000"/>
          <w:kern w:val="0"/>
          <w:sz w:val="24"/>
          <w:szCs w:val="24"/>
          <w:lang w:eastAsia="nl-NL"/>
          <w14:ligatures w14:val="none"/>
        </w:rPr>
        <w:t> waarop energiehubs de transitie kunnen helpen. Eerdere analyses concentreerden zich op één of enkele specifieke bedrijventerreinen, of op het landelijke effect van één deelaspect. Voor de effectschatting moesten diverse aannames worden gedaan. Omdat deze aannames expliciet in de studie vermeld zijn, hopen we de gedachtenvorming hierover verder te helpen.</w:t>
      </w:r>
    </w:p>
    <w:p w14:paraId="6AE8896E" w14:textId="77777777" w:rsidR="00A6041D" w:rsidRPr="00A6041D" w:rsidRDefault="00A6041D" w:rsidP="00A6041D">
      <w:pPr>
        <w:spacing w:after="0" w:line="240" w:lineRule="auto"/>
        <w:rPr>
          <w:rFonts w:ascii="Times New Roman" w:eastAsia="Times New Roman" w:hAnsi="Times New Roman" w:cs="Times New Roman"/>
          <w:color w:val="000000"/>
          <w:kern w:val="0"/>
          <w:sz w:val="24"/>
          <w:szCs w:val="24"/>
          <w:lang w:eastAsia="nl-NL"/>
          <w14:ligatures w14:val="none"/>
        </w:rPr>
      </w:pPr>
    </w:p>
    <w:p w14:paraId="4F899563" w14:textId="77777777" w:rsidR="00A6041D" w:rsidRPr="00A6041D" w:rsidRDefault="00A6041D" w:rsidP="00A6041D">
      <w:pPr>
        <w:spacing w:after="0" w:line="240" w:lineRule="auto"/>
        <w:rPr>
          <w:rFonts w:ascii="Times New Roman" w:eastAsia="Times New Roman" w:hAnsi="Times New Roman" w:cs="Times New Roman"/>
          <w:color w:val="000000"/>
          <w:kern w:val="0"/>
          <w:sz w:val="24"/>
          <w:szCs w:val="24"/>
          <w:lang w:eastAsia="nl-NL"/>
          <w14:ligatures w14:val="none"/>
        </w:rPr>
      </w:pPr>
      <w:r w:rsidRPr="00A6041D">
        <w:rPr>
          <w:rFonts w:ascii="Times New Roman" w:eastAsia="Times New Roman" w:hAnsi="Times New Roman" w:cs="Times New Roman"/>
          <w:color w:val="000000"/>
          <w:kern w:val="0"/>
          <w:sz w:val="24"/>
          <w:szCs w:val="24"/>
          <w:lang w:eastAsia="nl-NL"/>
          <w14:ligatures w14:val="none"/>
        </w:rPr>
        <w:t xml:space="preserve">Lees hier het rapport ‘Verduurzaming bedrijventerreinen met energiehubs van Royal </w:t>
      </w:r>
      <w:proofErr w:type="spellStart"/>
      <w:r w:rsidRPr="00A6041D">
        <w:rPr>
          <w:rFonts w:ascii="Times New Roman" w:eastAsia="Times New Roman" w:hAnsi="Times New Roman" w:cs="Times New Roman"/>
          <w:color w:val="000000"/>
          <w:kern w:val="0"/>
          <w:sz w:val="24"/>
          <w:szCs w:val="24"/>
          <w:lang w:eastAsia="nl-NL"/>
          <w14:ligatures w14:val="none"/>
        </w:rPr>
        <w:t>HaskoningDHV</w:t>
      </w:r>
      <w:proofErr w:type="spellEnd"/>
      <w:r w:rsidRPr="00A6041D">
        <w:rPr>
          <w:rFonts w:ascii="Times New Roman" w:eastAsia="Times New Roman" w:hAnsi="Times New Roman" w:cs="Times New Roman"/>
          <w:color w:val="000000"/>
          <w:kern w:val="0"/>
          <w:sz w:val="24"/>
          <w:szCs w:val="24"/>
          <w:lang w:eastAsia="nl-NL"/>
          <w14:ligatures w14:val="none"/>
        </w:rPr>
        <w:t>:</w:t>
      </w:r>
      <w:r w:rsidRPr="00A6041D">
        <w:rPr>
          <w:rFonts w:ascii="Times New Roman" w:eastAsia="Times New Roman" w:hAnsi="Times New Roman" w:cs="Times New Roman"/>
          <w:color w:val="000000"/>
          <w:kern w:val="0"/>
          <w:sz w:val="24"/>
          <w:szCs w:val="24"/>
          <w:lang w:eastAsia="nl-NL"/>
          <w14:ligatures w14:val="none"/>
        </w:rPr>
        <w:br/>
      </w:r>
      <w:hyperlink r:id="rId6" w:tgtFrame="_blank" w:history="1">
        <w:r w:rsidRPr="00A6041D">
          <w:rPr>
            <w:rFonts w:ascii="Times New Roman" w:eastAsia="Times New Roman" w:hAnsi="Times New Roman" w:cs="Times New Roman"/>
            <w:color w:val="51C651"/>
            <w:kern w:val="0"/>
            <w:sz w:val="24"/>
            <w:szCs w:val="24"/>
            <w:u w:val="single"/>
            <w:lang w:eastAsia="nl-NL"/>
            <w14:ligatures w14:val="none"/>
          </w:rPr>
          <w:t>Eindrapportage met managementsamenvatting</w:t>
        </w:r>
      </w:hyperlink>
    </w:p>
    <w:p w14:paraId="5A9A2F2C" w14:textId="77777777" w:rsidR="00BB1ED1" w:rsidRPr="00A6041D" w:rsidRDefault="00BB1ED1">
      <w:pPr>
        <w:rPr>
          <w:rFonts w:ascii="Times New Roman" w:hAnsi="Times New Roman" w:cs="Times New Roman"/>
          <w:sz w:val="24"/>
          <w:szCs w:val="24"/>
        </w:rPr>
      </w:pPr>
    </w:p>
    <w:sectPr w:rsidR="00BB1ED1" w:rsidRPr="00A6041D" w:rsidSect="00397105">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01834"/>
    <w:multiLevelType w:val="multilevel"/>
    <w:tmpl w:val="6F50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076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1D"/>
    <w:rsid w:val="00397105"/>
    <w:rsid w:val="00534E39"/>
    <w:rsid w:val="00A6041D"/>
    <w:rsid w:val="00BB1ED1"/>
    <w:rsid w:val="00EB6B08"/>
    <w:rsid w:val="00F25C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9558"/>
  <w15:chartTrackingRefBased/>
  <w15:docId w15:val="{0BA5BED6-5FDE-4322-8320-DD2522F7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604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993502">
      <w:bodyDiv w:val="1"/>
      <w:marLeft w:val="0"/>
      <w:marRight w:val="0"/>
      <w:marTop w:val="0"/>
      <w:marBottom w:val="0"/>
      <w:divBdr>
        <w:top w:val="none" w:sz="0" w:space="0" w:color="auto"/>
        <w:left w:val="none" w:sz="0" w:space="0" w:color="auto"/>
        <w:bottom w:val="none" w:sz="0" w:space="0" w:color="auto"/>
        <w:right w:val="none" w:sz="0" w:space="0" w:color="auto"/>
      </w:divBdr>
      <w:divsChild>
        <w:div w:id="1566791900">
          <w:marLeft w:val="0"/>
          <w:marRight w:val="0"/>
          <w:marTop w:val="0"/>
          <w:marBottom w:val="0"/>
          <w:divBdr>
            <w:top w:val="none" w:sz="0" w:space="0" w:color="auto"/>
            <w:left w:val="none" w:sz="0" w:space="0" w:color="auto"/>
            <w:bottom w:val="none" w:sz="0" w:space="0" w:color="auto"/>
            <w:right w:val="none" w:sz="0" w:space="0" w:color="auto"/>
          </w:divBdr>
        </w:div>
        <w:div w:id="3926289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vde.nl/wp-content/uploads/2023/10/20231020-Eindrapportage.pdf" TargetMode="External"/><Relationship Id="rId5" Type="http://schemas.openxmlformats.org/officeDocument/2006/relationships/hyperlink" Target="https://www.nvde.nl/onderzoek-samenwerking-in-energiehubs-op-bedrijventerreinen-leidt-tot-forse-extra-co2-reducti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Edelbroek</dc:creator>
  <cp:keywords/>
  <dc:description/>
  <cp:lastModifiedBy>Dorry Elshout</cp:lastModifiedBy>
  <cp:revision>2</cp:revision>
  <dcterms:created xsi:type="dcterms:W3CDTF">2024-05-11T21:18:00Z</dcterms:created>
  <dcterms:modified xsi:type="dcterms:W3CDTF">2024-05-11T21:18:00Z</dcterms:modified>
</cp:coreProperties>
</file>